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B32C" w14:textId="24B479B6" w:rsidR="00583B1E" w:rsidRDefault="00DE66FA">
      <w:pPr>
        <w:rPr>
          <w:lang w:val="en-US"/>
        </w:rPr>
      </w:pPr>
      <w:r>
        <w:rPr>
          <w:lang w:val="en-US"/>
        </w:rPr>
        <w:t>Maesgwyn – Wind Farm Rules</w:t>
      </w:r>
    </w:p>
    <w:p w14:paraId="3AAE145C" w14:textId="434FCDB6" w:rsidR="00DE66FA" w:rsidRDefault="00DE66FA">
      <w:pPr>
        <w:rPr>
          <w:lang w:val="en-US"/>
        </w:rPr>
      </w:pPr>
    </w:p>
    <w:tbl>
      <w:tblPr>
        <w:tblStyle w:val="TableGrid"/>
        <w:tblW w:w="8366" w:type="dxa"/>
        <w:tblInd w:w="0" w:type="dxa"/>
        <w:tblCellMar>
          <w:left w:w="24" w:type="dxa"/>
          <w:right w:w="47" w:type="dxa"/>
        </w:tblCellMar>
        <w:tblLook w:val="04A0" w:firstRow="1" w:lastRow="0" w:firstColumn="1" w:lastColumn="0" w:noHBand="0" w:noVBand="1"/>
      </w:tblPr>
      <w:tblGrid>
        <w:gridCol w:w="8366"/>
      </w:tblGrid>
      <w:tr w:rsidR="00DE66FA" w14:paraId="6F2264D2" w14:textId="77777777" w:rsidTr="00475E20">
        <w:trPr>
          <w:trHeight w:val="1008"/>
        </w:trPr>
        <w:tc>
          <w:tcPr>
            <w:tcW w:w="7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725DCA6E" w14:textId="77777777" w:rsidR="00DE66FA" w:rsidRDefault="00DE66FA" w:rsidP="00475E20">
            <w:pPr>
              <w:pStyle w:val="Default"/>
              <w:rPr>
                <w:sz w:val="22"/>
                <w:szCs w:val="22"/>
              </w:rPr>
            </w:pPr>
          </w:p>
          <w:p w14:paraId="132BD001" w14:textId="77777777" w:rsidR="00DE66FA" w:rsidRDefault="00DE66FA" w:rsidP="00475E20">
            <w:pPr>
              <w:spacing w:after="218" w:line="259" w:lineRule="auto"/>
            </w:pPr>
            <w:r>
              <w:t>Community Benefits</w:t>
            </w:r>
          </w:p>
          <w:p w14:paraId="12D77B86" w14:textId="0B7BA06D" w:rsidR="00DE66FA" w:rsidRPr="00E308BB" w:rsidRDefault="00DE66FA" w:rsidP="00475E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Maesgwyn project has a £4.375m lifetime community benefit to be distributed at £175,000 per annum.  </w:t>
            </w:r>
            <w:r w:rsidRPr="00D33DD5">
              <w:rPr>
                <w:sz w:val="22"/>
                <w:szCs w:val="22"/>
              </w:rPr>
              <w:t>The fund is secured by a Section 106</w:t>
            </w:r>
            <w:r>
              <w:rPr>
                <w:sz w:val="22"/>
                <w:szCs w:val="22"/>
              </w:rPr>
              <w:t xml:space="preserve">. The monies are paid directly to and administered by NPT CBC with some input from PW. </w:t>
            </w:r>
            <w:r w:rsidRPr="00D33DD5">
              <w:rPr>
                <w:sz w:val="22"/>
                <w:szCs w:val="22"/>
              </w:rPr>
              <w:t xml:space="preserve"> The benefit is available for qualifying projects in the communities </w:t>
            </w:r>
            <w:r>
              <w:rPr>
                <w:sz w:val="22"/>
                <w:szCs w:val="22"/>
              </w:rPr>
              <w:t xml:space="preserve">of Banwen, Onllwyn and Glynneath. </w:t>
            </w:r>
            <w:r w:rsidRPr="00D33DD5">
              <w:rPr>
                <w:sz w:val="22"/>
                <w:szCs w:val="22"/>
              </w:rPr>
              <w:t>Monies not spent in any year are rolled up within the company and ring fenced for future spend.</w:t>
            </w:r>
            <w:r w:rsidR="004F086F">
              <w:rPr>
                <w:sz w:val="22"/>
                <w:szCs w:val="22"/>
              </w:rPr>
              <w:t xml:space="preserve">  All applications are made directly </w:t>
            </w:r>
            <w:bookmarkStart w:id="0" w:name="_GoBack"/>
            <w:bookmarkEnd w:id="0"/>
            <w:r w:rsidR="004F086F">
              <w:rPr>
                <w:sz w:val="22"/>
                <w:szCs w:val="22"/>
              </w:rPr>
              <w:t>to NPT CBC.</w:t>
            </w:r>
          </w:p>
          <w:p w14:paraId="6FAA9041" w14:textId="77777777" w:rsidR="00DE66FA" w:rsidRPr="00D33DD5" w:rsidRDefault="00DE66FA" w:rsidP="00475E20">
            <w:pPr>
              <w:pStyle w:val="Default"/>
              <w:rPr>
                <w:sz w:val="22"/>
                <w:szCs w:val="22"/>
              </w:rPr>
            </w:pPr>
          </w:p>
          <w:p w14:paraId="7D6CFFE0" w14:textId="2D37C027" w:rsidR="00DE66FA" w:rsidRDefault="00DE66FA" w:rsidP="00475E20">
            <w:r>
              <w:t xml:space="preserve">A very large number of projects have been supported to date and these are collated in the appended table  </w:t>
            </w:r>
            <w:r w:rsidRPr="00DE66FA">
              <w:rPr>
                <w:highlight w:val="yellow"/>
              </w:rPr>
              <w:t>(DH to check</w:t>
            </w:r>
            <w:r>
              <w:t>)</w:t>
            </w:r>
          </w:p>
          <w:p w14:paraId="59A134BA" w14:textId="77777777" w:rsidR="00DE66FA" w:rsidRDefault="00DE66FA" w:rsidP="00475E20"/>
          <w:p w14:paraId="1870A342" w14:textId="77777777" w:rsidR="00DE66FA" w:rsidRDefault="00DE66FA" w:rsidP="00475E20">
            <w:r>
              <w:t>Some examples are given below for Onllwyn only from NPT CBC tabular record.</w:t>
            </w:r>
          </w:p>
          <w:p w14:paraId="3433CCBB" w14:textId="77777777" w:rsidR="00DE66FA" w:rsidRDefault="00DE66FA" w:rsidP="00475E20"/>
          <w:tbl>
            <w:tblPr>
              <w:tblW w:w="7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7"/>
              <w:gridCol w:w="2551"/>
              <w:gridCol w:w="2366"/>
              <w:gridCol w:w="1560"/>
            </w:tblGrid>
            <w:tr w:rsidR="00DE66FA" w:rsidRPr="00EB4B2B" w14:paraId="029A236C" w14:textId="77777777" w:rsidTr="00475E20">
              <w:tc>
                <w:tcPr>
                  <w:tcW w:w="1277" w:type="dxa"/>
                  <w:shd w:val="clear" w:color="auto" w:fill="auto"/>
                </w:tcPr>
                <w:p w14:paraId="4241ECCA" w14:textId="77777777" w:rsidR="00DE66FA" w:rsidRPr="000E31AF" w:rsidRDefault="00DE66FA" w:rsidP="00475E20">
                  <w:pPr>
                    <w:jc w:val="center"/>
                    <w:rPr>
                      <w:b/>
                    </w:rPr>
                  </w:pPr>
                  <w:r w:rsidRPr="000E31AF">
                    <w:rPr>
                      <w:b/>
                    </w:rPr>
                    <w:t>Ref. No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625C677" w14:textId="77777777" w:rsidR="00DE66FA" w:rsidRPr="00EB4B2B" w:rsidRDefault="00DE66FA" w:rsidP="00475E20">
                  <w:pPr>
                    <w:jc w:val="center"/>
                    <w:rPr>
                      <w:b/>
                    </w:rPr>
                  </w:pPr>
                  <w:r w:rsidRPr="00EB4B2B">
                    <w:rPr>
                      <w:b/>
                    </w:rPr>
                    <w:t>Organisation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223BAF34" w14:textId="77777777" w:rsidR="00DE66FA" w:rsidRPr="00EB4B2B" w:rsidRDefault="00DE66FA" w:rsidP="00475E20">
                  <w:pPr>
                    <w:jc w:val="center"/>
                    <w:rPr>
                      <w:b/>
                    </w:rPr>
                  </w:pPr>
                  <w:r w:rsidRPr="00EB4B2B">
                    <w:rPr>
                      <w:b/>
                    </w:rPr>
                    <w:t>Project Activity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6BD2DFD" w14:textId="77777777" w:rsidR="00DE66FA" w:rsidRPr="00EB4B2B" w:rsidRDefault="00DE66FA" w:rsidP="00475E20">
                  <w:pPr>
                    <w:jc w:val="center"/>
                    <w:rPr>
                      <w:b/>
                    </w:rPr>
                  </w:pPr>
                  <w:r w:rsidRPr="00EB4B2B">
                    <w:rPr>
                      <w:b/>
                    </w:rPr>
                    <w:t>Amount Requested</w:t>
                  </w:r>
                </w:p>
              </w:tc>
            </w:tr>
            <w:tr w:rsidR="00DE66FA" w:rsidRPr="00EB4B2B" w14:paraId="15EA3BC1" w14:textId="77777777" w:rsidTr="00475E20">
              <w:tc>
                <w:tcPr>
                  <w:tcW w:w="1277" w:type="dxa"/>
                  <w:shd w:val="clear" w:color="auto" w:fill="auto"/>
                </w:tcPr>
                <w:p w14:paraId="6E4D97E9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001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1C9AFE5" w14:textId="77777777" w:rsidR="00DE66FA" w:rsidRDefault="00DE66FA" w:rsidP="00475E20">
                  <w:r>
                    <w:t xml:space="preserve">Banwen &amp; District Pony Club </w:t>
                  </w:r>
                  <w:r>
                    <w:rPr>
                      <w:noProof/>
                    </w:rPr>
                    <w:drawing>
                      <wp:inline distT="0" distB="0" distL="0" distR="0" wp14:anchorId="1582C29B" wp14:editId="54706097">
                        <wp:extent cx="1301026" cy="818019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ny-Club Banwen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026" cy="818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216DC47A" w14:textId="77777777" w:rsidR="00DE66FA" w:rsidRDefault="00DE66FA" w:rsidP="00475E20">
                  <w:r>
                    <w:t xml:space="preserve">Ménage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B173F76" w14:textId="77777777" w:rsidR="00DE66FA" w:rsidRDefault="00DE66FA" w:rsidP="00475E20">
                  <w:r>
                    <w:t>£19,700</w:t>
                  </w:r>
                </w:p>
              </w:tc>
            </w:tr>
            <w:tr w:rsidR="00DE66FA" w:rsidRPr="00EB4B2B" w14:paraId="78D95385" w14:textId="77777777" w:rsidTr="00475E20">
              <w:tc>
                <w:tcPr>
                  <w:tcW w:w="1277" w:type="dxa"/>
                  <w:shd w:val="clear" w:color="auto" w:fill="auto"/>
                </w:tcPr>
                <w:p w14:paraId="56032331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009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16A04F6" w14:textId="77777777" w:rsidR="00DE66FA" w:rsidRDefault="00DE66FA" w:rsidP="00475E20">
                  <w:r>
                    <w:t xml:space="preserve">Banwen RFC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6B4D3C5D" w14:textId="77777777" w:rsidR="00DE66FA" w:rsidRDefault="00DE66FA" w:rsidP="00475E20">
                  <w:r>
                    <w:t xml:space="preserve">Pitch drainage scheme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D11A450" w14:textId="77777777" w:rsidR="00DE66FA" w:rsidRDefault="00DE66FA" w:rsidP="00475E20">
                  <w:r>
                    <w:t>£18,850</w:t>
                  </w:r>
                </w:p>
              </w:tc>
            </w:tr>
            <w:tr w:rsidR="00DE66FA" w:rsidRPr="00EB4B2B" w14:paraId="031EA689" w14:textId="77777777" w:rsidTr="00475E20">
              <w:tc>
                <w:tcPr>
                  <w:tcW w:w="1277" w:type="dxa"/>
                  <w:shd w:val="clear" w:color="auto" w:fill="auto"/>
                </w:tcPr>
                <w:p w14:paraId="446619F1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BFDF983" w14:textId="77777777" w:rsidR="00DE66FA" w:rsidRDefault="00DE66FA" w:rsidP="00475E20">
                  <w:r>
                    <w:t xml:space="preserve">Onllwyn Community Council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7959CA96" w14:textId="77777777" w:rsidR="00DE66FA" w:rsidRDefault="00DE66FA" w:rsidP="00475E20">
                  <w:r>
                    <w:t xml:space="preserve">Skate Park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4BDDEF2" w14:textId="77777777" w:rsidR="00DE66FA" w:rsidRPr="00EB4B2B" w:rsidRDefault="00DE66FA" w:rsidP="00475E20">
                  <w:r>
                    <w:t>£26,850.00</w:t>
                  </w:r>
                </w:p>
              </w:tc>
            </w:tr>
            <w:tr w:rsidR="00DE66FA" w:rsidRPr="00EB4B2B" w14:paraId="596DF99A" w14:textId="77777777" w:rsidTr="00475E20">
              <w:tc>
                <w:tcPr>
                  <w:tcW w:w="1277" w:type="dxa"/>
                  <w:shd w:val="clear" w:color="auto" w:fill="auto"/>
                </w:tcPr>
                <w:p w14:paraId="49E78739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023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23B6B0D" w14:textId="77777777" w:rsidR="00DE66FA" w:rsidRDefault="00DE66FA" w:rsidP="00475E20">
                  <w:r>
                    <w:t xml:space="preserve">Age Connect NPT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4C86BE4B" w14:textId="77777777" w:rsidR="00DE66FA" w:rsidRDefault="00DE66FA" w:rsidP="00475E20">
                  <w:r>
                    <w:t xml:space="preserve">Outreach Development Worker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83F24A7" w14:textId="77777777" w:rsidR="00DE66FA" w:rsidRPr="00EB4B2B" w:rsidRDefault="00DE66FA" w:rsidP="00475E20">
                  <w:r>
                    <w:t xml:space="preserve">£14,578.49 </w:t>
                  </w:r>
                </w:p>
              </w:tc>
            </w:tr>
            <w:tr w:rsidR="00DE66FA" w:rsidRPr="00EB4B2B" w14:paraId="4385D8D5" w14:textId="77777777" w:rsidTr="00475E20">
              <w:tc>
                <w:tcPr>
                  <w:tcW w:w="1277" w:type="dxa"/>
                  <w:shd w:val="clear" w:color="auto" w:fill="auto"/>
                </w:tcPr>
                <w:p w14:paraId="6B0D681A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024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C5FA182" w14:textId="77777777" w:rsidR="00DE66FA" w:rsidRDefault="00DE66FA" w:rsidP="00475E20">
                  <w:r>
                    <w:t>Onllwyn Community Council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7BC3E000" w14:textId="77777777" w:rsidR="00DE66FA" w:rsidRDefault="00DE66FA" w:rsidP="00475E20">
                  <w:r>
                    <w:t>Refurbishment of Pantyffordd Play Area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4754FDF" w14:textId="77777777" w:rsidR="00DE66FA" w:rsidRDefault="00DE66FA" w:rsidP="00475E20">
                  <w:r>
                    <w:t>£28,211.00</w:t>
                  </w:r>
                </w:p>
              </w:tc>
            </w:tr>
            <w:tr w:rsidR="00DE66FA" w:rsidRPr="00EB4B2B" w14:paraId="7EEB8AD1" w14:textId="77777777" w:rsidTr="00475E20">
              <w:tc>
                <w:tcPr>
                  <w:tcW w:w="1277" w:type="dxa"/>
                  <w:shd w:val="clear" w:color="auto" w:fill="auto"/>
                </w:tcPr>
                <w:p w14:paraId="00DC2D6A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>
                    <w:rPr>
                      <w:b/>
                      <w:color w:val="92D050"/>
                    </w:rPr>
                    <w:t>027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9C6DA4E" w14:textId="77777777" w:rsidR="00DE66FA" w:rsidRDefault="00DE66FA" w:rsidP="00475E20">
                  <w:r>
                    <w:t xml:space="preserve">Onllwyn Community Council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7CB1AEE9" w14:textId="77777777" w:rsidR="00DE66FA" w:rsidRDefault="00DE66FA" w:rsidP="00475E20">
                  <w:r>
                    <w:t>Conversion of tennis courts into a MUGA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7901E69" w14:textId="77777777" w:rsidR="00DE66FA" w:rsidRDefault="00DE66FA" w:rsidP="00475E20">
                  <w:r>
                    <w:t>£25,523.40</w:t>
                  </w:r>
                </w:p>
              </w:tc>
            </w:tr>
            <w:tr w:rsidR="00DE66FA" w:rsidRPr="00EB4B2B" w14:paraId="0CCA8CC8" w14:textId="77777777" w:rsidTr="00475E20">
              <w:tc>
                <w:tcPr>
                  <w:tcW w:w="1277" w:type="dxa"/>
                  <w:shd w:val="clear" w:color="auto" w:fill="auto"/>
                </w:tcPr>
                <w:p w14:paraId="2D396A9D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029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EBBD816" w14:textId="77777777" w:rsidR="00DE66FA" w:rsidRDefault="00DE66FA" w:rsidP="00475E20">
                  <w:r>
                    <w:t xml:space="preserve">Banwen RFC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575D8FAB" w14:textId="77777777" w:rsidR="00DE66FA" w:rsidRDefault="00DE66FA" w:rsidP="00475E20">
                  <w:r>
                    <w:t>Convert ATP to a 3G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B5D7E7E" w14:textId="77777777" w:rsidR="00DE66FA" w:rsidRPr="00EB4B2B" w:rsidRDefault="00DE66FA" w:rsidP="00475E20">
                  <w:r>
                    <w:t>£29,655.56</w:t>
                  </w:r>
                </w:p>
              </w:tc>
            </w:tr>
            <w:tr w:rsidR="00DE66FA" w:rsidRPr="00EB4B2B" w14:paraId="0540306A" w14:textId="77777777" w:rsidTr="00475E20">
              <w:tc>
                <w:tcPr>
                  <w:tcW w:w="1277" w:type="dxa"/>
                  <w:shd w:val="clear" w:color="auto" w:fill="auto"/>
                </w:tcPr>
                <w:p w14:paraId="51878270" w14:textId="77777777" w:rsidR="00DE66FA" w:rsidRPr="00C05A26" w:rsidRDefault="00DE66FA" w:rsidP="00475E20">
                  <w:pPr>
                    <w:rPr>
                      <w:b/>
                      <w:color w:val="92D050"/>
                    </w:rPr>
                  </w:pPr>
                  <w:r w:rsidRPr="00C05A26">
                    <w:rPr>
                      <w:b/>
                      <w:color w:val="92D050"/>
                    </w:rPr>
                    <w:t>042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6A3DBDA" w14:textId="77777777" w:rsidR="00DE66FA" w:rsidRDefault="00DE66FA" w:rsidP="00475E20">
                  <w:r>
                    <w:t xml:space="preserve">Age Connects NPT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673619E0" w14:textId="77777777" w:rsidR="00DE66FA" w:rsidRDefault="00DE66FA" w:rsidP="00475E20">
                  <w:r>
                    <w:t xml:space="preserve">Counselling, welfare and health advice through Outreach Officers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18BA4DB" w14:textId="77777777" w:rsidR="00DE66FA" w:rsidRPr="00EB4B2B" w:rsidRDefault="00DE66FA" w:rsidP="00475E20">
                  <w:r>
                    <w:t xml:space="preserve">£29,658.67 (over 2 years) </w:t>
                  </w:r>
                </w:p>
              </w:tc>
            </w:tr>
            <w:tr w:rsidR="00DE66FA" w:rsidRPr="00EB4B2B" w14:paraId="55D54925" w14:textId="77777777" w:rsidTr="00475E20">
              <w:tc>
                <w:tcPr>
                  <w:tcW w:w="1277" w:type="dxa"/>
                  <w:shd w:val="clear" w:color="auto" w:fill="auto"/>
                </w:tcPr>
                <w:p w14:paraId="0A8E1798" w14:textId="77777777" w:rsidR="00DE66FA" w:rsidRPr="006A771C" w:rsidRDefault="00DE66FA" w:rsidP="00475E20">
                  <w:pPr>
                    <w:rPr>
                      <w:b/>
                    </w:rPr>
                  </w:pPr>
                  <w:r w:rsidRPr="006A771C">
                    <w:rPr>
                      <w:b/>
                    </w:rPr>
                    <w:t>048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82BE7D5" w14:textId="77777777" w:rsidR="00DE66FA" w:rsidRDefault="00DE66FA" w:rsidP="00475E20">
                  <w:r>
                    <w:t>DOVE Workshop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1769800B" w14:textId="77777777" w:rsidR="00DE66FA" w:rsidRDefault="00DE66FA" w:rsidP="00475E20">
                  <w:r>
                    <w:t xml:space="preserve">Media hub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561D92C" w14:textId="77777777" w:rsidR="00DE66FA" w:rsidRDefault="00DE66FA" w:rsidP="00475E20">
                  <w:r>
                    <w:t>£21,924.14</w:t>
                  </w:r>
                </w:p>
              </w:tc>
            </w:tr>
            <w:tr w:rsidR="00DE66FA" w:rsidRPr="00EB4B2B" w14:paraId="6E9D9FE8" w14:textId="77777777" w:rsidTr="00475E20">
              <w:tc>
                <w:tcPr>
                  <w:tcW w:w="1277" w:type="dxa"/>
                  <w:shd w:val="clear" w:color="auto" w:fill="auto"/>
                </w:tcPr>
                <w:p w14:paraId="7263FA50" w14:textId="77777777" w:rsidR="00DE66FA" w:rsidRPr="00851260" w:rsidRDefault="00DE66FA" w:rsidP="00475E20">
                  <w:pPr>
                    <w:rPr>
                      <w:b/>
                      <w:color w:val="92D050"/>
                    </w:rPr>
                  </w:pPr>
                  <w:r w:rsidRPr="00851260">
                    <w:rPr>
                      <w:b/>
                      <w:color w:val="92D050"/>
                    </w:rPr>
                    <w:lastRenderedPageBreak/>
                    <w:t>049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086C228" w14:textId="77777777" w:rsidR="00DE66FA" w:rsidRDefault="00DE66FA" w:rsidP="00475E20">
                  <w:r>
                    <w:t xml:space="preserve">Banwen RFC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4CD32C02" w14:textId="77777777" w:rsidR="00DE66FA" w:rsidRDefault="00DE66FA" w:rsidP="00475E20">
                  <w:r>
                    <w:t>Funding to purchase new tractor and equipment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C4C1A66" w14:textId="77777777" w:rsidR="00DE66FA" w:rsidRDefault="00DE66FA" w:rsidP="00475E20">
                  <w:r>
                    <w:t>£14,810.00</w:t>
                  </w:r>
                </w:p>
              </w:tc>
            </w:tr>
            <w:tr w:rsidR="00DE66FA" w:rsidRPr="00EB4B2B" w14:paraId="6D41B488" w14:textId="77777777" w:rsidTr="00475E20">
              <w:tc>
                <w:tcPr>
                  <w:tcW w:w="1277" w:type="dxa"/>
                  <w:shd w:val="clear" w:color="auto" w:fill="auto"/>
                </w:tcPr>
                <w:p w14:paraId="300C73DB" w14:textId="77777777" w:rsidR="00DE66FA" w:rsidRPr="00851260" w:rsidRDefault="00DE66FA" w:rsidP="00475E20">
                  <w:pPr>
                    <w:rPr>
                      <w:b/>
                      <w:color w:val="92D050"/>
                    </w:rPr>
                  </w:pPr>
                  <w:r w:rsidRPr="00851260">
                    <w:rPr>
                      <w:b/>
                      <w:color w:val="92D050"/>
                    </w:rPr>
                    <w:t>050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8C553AD" w14:textId="77777777" w:rsidR="00DE66FA" w:rsidRDefault="00DE66FA" w:rsidP="00475E20">
                  <w:r>
                    <w:t xml:space="preserve">Onllwyn Community Council 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14:paraId="7527F9BF" w14:textId="77777777" w:rsidR="00DE66FA" w:rsidRDefault="00DE66FA" w:rsidP="00475E20">
                  <w:r>
                    <w:t xml:space="preserve">Working with Nature project - development of the wooded area near the pond and DOVE area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9A515CA" w14:textId="77777777" w:rsidR="00DE66FA" w:rsidRDefault="00DE66FA" w:rsidP="00475E20">
                  <w:r>
                    <w:t>£11,288.32</w:t>
                  </w:r>
                </w:p>
              </w:tc>
            </w:tr>
          </w:tbl>
          <w:p w14:paraId="0CB7B08F" w14:textId="77777777" w:rsidR="00DE66FA" w:rsidRDefault="00DE66FA" w:rsidP="00475E20"/>
          <w:p w14:paraId="7DFD07D5" w14:textId="77777777" w:rsidR="00DE66FA" w:rsidRDefault="00DE66FA" w:rsidP="00475E20"/>
        </w:tc>
      </w:tr>
    </w:tbl>
    <w:p w14:paraId="6793931C" w14:textId="77777777" w:rsidR="00DE66FA" w:rsidRPr="00DE66FA" w:rsidRDefault="00DE66FA">
      <w:pPr>
        <w:rPr>
          <w:lang w:val="en-US"/>
        </w:rPr>
      </w:pPr>
    </w:p>
    <w:sectPr w:rsidR="00DE66FA" w:rsidRPr="00DE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FA"/>
    <w:rsid w:val="004F086F"/>
    <w:rsid w:val="00583B1E"/>
    <w:rsid w:val="00D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F06B"/>
  <w15:chartTrackingRefBased/>
  <w15:docId w15:val="{FD4D7DB1-1D9E-4A7D-863B-A5C81F3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66F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6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</dc:creator>
  <cp:keywords/>
  <dc:description/>
  <cp:lastModifiedBy>Dale Hart</cp:lastModifiedBy>
  <cp:revision>2</cp:revision>
  <dcterms:created xsi:type="dcterms:W3CDTF">2020-02-18T11:05:00Z</dcterms:created>
  <dcterms:modified xsi:type="dcterms:W3CDTF">2020-02-18T11:23:00Z</dcterms:modified>
</cp:coreProperties>
</file>